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附件1：          </w:t>
      </w:r>
    </w:p>
    <w:p>
      <w:pPr>
        <w:adjustRightInd w:val="0"/>
        <w:snapToGrid w:val="0"/>
        <w:spacing w:line="360" w:lineRule="auto"/>
        <w:jc w:val="center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四川森普管材股份有限公司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2021年度股东大会议案表决票</w:t>
      </w:r>
    </w:p>
    <w:p>
      <w:pPr>
        <w:adjustRightInd w:val="0"/>
        <w:snapToGrid w:val="0"/>
        <w:spacing w:line="360" w:lineRule="auto"/>
        <w:jc w:val="center"/>
        <w:rPr>
          <w:rFonts w:hint="eastAsia" w:ascii="新宋体" w:hAnsi="新宋体" w:eastAsia="新宋体" w:cs="新宋体"/>
          <w:bCs/>
          <w:sz w:val="28"/>
          <w:szCs w:val="28"/>
        </w:rPr>
      </w:pPr>
      <w:r>
        <w:rPr>
          <w:rFonts w:hint="eastAsia" w:ascii="新宋体" w:hAnsi="新宋体" w:eastAsia="新宋体" w:cs="新宋体"/>
          <w:bCs/>
          <w:sz w:val="28"/>
          <w:szCs w:val="28"/>
        </w:rPr>
        <w:t xml:space="preserve">          股份数：</w:t>
      </w:r>
      <w:r>
        <w:rPr>
          <w:rFonts w:hint="eastAsia" w:ascii="新宋体" w:hAnsi="新宋体" w:eastAsia="新宋体" w:cs="新宋体"/>
          <w:bCs/>
          <w:sz w:val="28"/>
          <w:szCs w:val="28"/>
          <w:u w:val="single"/>
        </w:rPr>
        <w:t xml:space="preserve">        </w:t>
      </w:r>
      <w:r>
        <w:rPr>
          <w:rFonts w:hint="eastAsia" w:ascii="新宋体" w:hAnsi="新宋体" w:eastAsia="新宋体" w:cs="新宋体"/>
          <w:bCs/>
          <w:sz w:val="28"/>
          <w:szCs w:val="28"/>
        </w:rPr>
        <w:t xml:space="preserve">万股 </w:t>
      </w:r>
    </w:p>
    <w:tbl>
      <w:tblPr>
        <w:tblStyle w:val="3"/>
        <w:tblW w:w="94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212"/>
        <w:gridCol w:w="997"/>
        <w:gridCol w:w="999"/>
        <w:gridCol w:w="999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序号</w:t>
            </w:r>
          </w:p>
        </w:tc>
        <w:tc>
          <w:tcPr>
            <w:tcW w:w="321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议案名称</w:t>
            </w:r>
          </w:p>
        </w:tc>
        <w:tc>
          <w:tcPr>
            <w:tcW w:w="29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表决意见</w:t>
            </w:r>
          </w:p>
        </w:tc>
        <w:tc>
          <w:tcPr>
            <w:tcW w:w="2424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</w:rPr>
            </w:pPr>
          </w:p>
        </w:tc>
        <w:tc>
          <w:tcPr>
            <w:tcW w:w="32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32"/>
              </w:rPr>
            </w:pPr>
          </w:p>
        </w:tc>
        <w:tc>
          <w:tcPr>
            <w:tcW w:w="99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赞同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反对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弃权</w:t>
            </w:r>
          </w:p>
        </w:tc>
        <w:tc>
          <w:tcPr>
            <w:tcW w:w="2424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1</w:t>
            </w:r>
          </w:p>
        </w:tc>
        <w:tc>
          <w:tcPr>
            <w:tcW w:w="321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2021年度董事会工作报告</w:t>
            </w:r>
          </w:p>
        </w:tc>
        <w:tc>
          <w:tcPr>
            <w:tcW w:w="997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2</w:t>
            </w:r>
          </w:p>
        </w:tc>
        <w:tc>
          <w:tcPr>
            <w:tcW w:w="321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2021年度监事会工作报告</w:t>
            </w:r>
          </w:p>
        </w:tc>
        <w:tc>
          <w:tcPr>
            <w:tcW w:w="997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3</w:t>
            </w:r>
          </w:p>
        </w:tc>
        <w:tc>
          <w:tcPr>
            <w:tcW w:w="321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2021年度财务决算报告</w:t>
            </w:r>
          </w:p>
        </w:tc>
        <w:tc>
          <w:tcPr>
            <w:tcW w:w="997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4</w:t>
            </w:r>
          </w:p>
        </w:tc>
        <w:tc>
          <w:tcPr>
            <w:tcW w:w="3212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zh-CN"/>
              </w:rPr>
              <w:t>2021年度利润分配方案</w:t>
            </w:r>
          </w:p>
        </w:tc>
        <w:tc>
          <w:tcPr>
            <w:tcW w:w="997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5</w:t>
            </w:r>
          </w:p>
        </w:tc>
        <w:tc>
          <w:tcPr>
            <w:tcW w:w="321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审议关于拟聘请会计事务所为公司2022年度审计单位的议案</w:t>
            </w:r>
          </w:p>
        </w:tc>
        <w:tc>
          <w:tcPr>
            <w:tcW w:w="997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审议关于接受并增补公司监事辞职和提名的提案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新宋体" w:hAnsi="新宋体" w:eastAsia="新宋体" w:cs="新宋体"/>
          <w:b/>
          <w:bCs/>
        </w:rPr>
      </w:pPr>
    </w:p>
    <w:p>
      <w:pPr>
        <w:adjustRightInd w:val="0"/>
        <w:snapToGrid w:val="0"/>
        <w:spacing w:line="360" w:lineRule="auto"/>
        <w:rPr>
          <w:rFonts w:hint="eastAsia" w:ascii="新宋体" w:hAnsi="新宋体" w:eastAsia="新宋体" w:cs="新宋体"/>
          <w:b/>
          <w:bCs/>
          <w:sz w:val="28"/>
        </w:rPr>
      </w:pPr>
      <w:r>
        <w:rPr>
          <w:rFonts w:hint="eastAsia" w:ascii="新宋体" w:hAnsi="新宋体" w:eastAsia="新宋体" w:cs="新宋体"/>
          <w:b/>
          <w:bCs/>
          <w:sz w:val="24"/>
        </w:rPr>
        <w:t>注：请将您的表决意见在相应栏目内划“√”，若需特别说明请填入备注栏内</w:t>
      </w:r>
      <w:r>
        <w:rPr>
          <w:rFonts w:hint="eastAsia" w:ascii="新宋体" w:hAnsi="新宋体" w:eastAsia="新宋体" w:cs="新宋体"/>
          <w:b/>
          <w:bCs/>
          <w:sz w:val="28"/>
        </w:rPr>
        <w:t>。</w:t>
      </w:r>
      <w:r>
        <w:rPr>
          <w:rFonts w:hint="eastAsia" w:ascii="新宋体" w:hAnsi="新宋体" w:eastAsia="新宋体" w:cs="新宋体"/>
          <w:b/>
          <w:bCs/>
        </w:rPr>
        <w:t xml:space="preserve">                   </w:t>
      </w:r>
    </w:p>
    <w:p>
      <w:pPr>
        <w:adjustRightInd w:val="0"/>
        <w:snapToGrid w:val="0"/>
        <w:spacing w:line="500" w:lineRule="exact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 xml:space="preserve">                             </w:t>
      </w:r>
    </w:p>
    <w:p>
      <w:pPr>
        <w:adjustRightInd w:val="0"/>
        <w:snapToGrid w:val="0"/>
        <w:spacing w:line="500" w:lineRule="exact"/>
        <w:rPr>
          <w:rFonts w:hint="eastAsia" w:ascii="新宋体" w:hAnsi="新宋体" w:eastAsia="新宋体" w:cs="新宋体"/>
        </w:rPr>
      </w:pPr>
    </w:p>
    <w:p>
      <w:pPr>
        <w:adjustRightInd w:val="0"/>
        <w:snapToGrid w:val="0"/>
        <w:spacing w:line="500" w:lineRule="exact"/>
        <w:rPr>
          <w:rFonts w:hint="eastAsia" w:ascii="新宋体" w:hAnsi="新宋体" w:eastAsia="新宋体" w:cs="新宋体"/>
        </w:rPr>
      </w:pPr>
    </w:p>
    <w:p>
      <w:pPr>
        <w:adjustRightInd w:val="0"/>
        <w:snapToGrid w:val="0"/>
        <w:spacing w:line="500" w:lineRule="exact"/>
        <w:ind w:firstLine="3150" w:firstLineChars="1500"/>
        <w:rPr>
          <w:rFonts w:hint="eastAsia"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</w:rPr>
        <w:t xml:space="preserve">     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股东或授权代表签名：</w:t>
      </w:r>
      <w:r>
        <w:rPr>
          <w:rFonts w:hint="eastAsia" w:ascii="新宋体" w:hAnsi="新宋体" w:eastAsia="新宋体" w:cs="新宋体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 xml:space="preserve">　                   </w:t>
      </w:r>
    </w:p>
    <w:p>
      <w:pPr>
        <w:wordWrap w:val="0"/>
        <w:spacing w:line="500" w:lineRule="exact"/>
        <w:ind w:left="4766" w:leftChars="2002" w:right="560" w:hanging="562" w:hangingChars="200"/>
        <w:rPr>
          <w:rFonts w:hint="eastAsia"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 xml:space="preserve"> 四川森普管材股份有限公司</w:t>
      </w:r>
    </w:p>
    <w:p>
      <w:pPr>
        <w:wordWrap w:val="0"/>
        <w:spacing w:line="500" w:lineRule="exact"/>
        <w:ind w:right="560" w:firstLine="4498" w:firstLineChars="1600"/>
        <w:rPr>
          <w:rFonts w:ascii="微软雅黑" w:hAnsi="微软雅黑" w:eastAsia="微软雅黑"/>
          <w:b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/>
          <w:sz w:val="28"/>
          <w:szCs w:val="28"/>
        </w:rPr>
        <w:t>二〇二二年八月三十一日</w:t>
      </w:r>
    </w:p>
    <w:p>
      <w:pPr>
        <w:tabs>
          <w:tab w:val="left" w:pos="8280"/>
        </w:tabs>
        <w:spacing w:line="360" w:lineRule="auto"/>
        <w:ind w:right="26"/>
        <w:rPr>
          <w:rFonts w:hint="eastAsia" w:ascii="微软雅黑" w:hAnsi="微软雅黑" w:eastAsia="微软雅黑" w:cs="微软雅黑"/>
          <w:sz w:val="28"/>
          <w:szCs w:val="28"/>
        </w:rPr>
      </w:pPr>
    </w:p>
    <w:p/>
    <w:sectPr>
      <w:pgSz w:w="11906" w:h="16838"/>
      <w:pgMar w:top="1134" w:right="1230" w:bottom="1134" w:left="123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3609"/>
    <w:rsid w:val="7854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2022-08-12T05:51:00Z</dcterms:created>
  <dc:creator>Administrator</dc:creator>
  <cp:lastModifiedBy>Administrator</cp:lastModifiedBy>
  <dcterms:modified xsi:type="dcterms:W3CDTF">2022-08-12T05:53:36Z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